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trani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alerno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